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  <w:t xml:space="preserve">ЛЕКЦИЯ 1 </w:t>
      </w: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</w:pPr>
    </w:p>
    <w:p w:rsidR="00822F78" w:rsidRPr="00822F78" w:rsidRDefault="00822F78" w:rsidP="00822F7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</w:pPr>
      <w:r w:rsidRPr="00822F78">
        <w:rPr>
          <w:rFonts w:ascii="Times New Roman" w:hAnsi="Times New Roman" w:cs="Times New Roman"/>
          <w:b/>
          <w:sz w:val="28"/>
          <w:szCs w:val="28"/>
        </w:rPr>
        <w:t xml:space="preserve">Тема 1. Налоговая отчетность. (Общие положения, порядок представления налоговой </w:t>
      </w:r>
      <w:proofErr w:type="gramStart"/>
      <w:r w:rsidRPr="00822F78">
        <w:rPr>
          <w:rFonts w:ascii="Times New Roman" w:hAnsi="Times New Roman" w:cs="Times New Roman"/>
          <w:b/>
          <w:sz w:val="28"/>
          <w:szCs w:val="28"/>
        </w:rPr>
        <w:t>отчетности,  прием</w:t>
      </w:r>
      <w:proofErr w:type="gramEnd"/>
      <w:r w:rsidRPr="00822F78">
        <w:rPr>
          <w:rFonts w:ascii="Times New Roman" w:hAnsi="Times New Roman" w:cs="Times New Roman"/>
          <w:b/>
          <w:sz w:val="28"/>
          <w:szCs w:val="28"/>
        </w:rPr>
        <w:t xml:space="preserve"> налоговых форм)</w:t>
      </w:r>
    </w:p>
    <w:p w:rsidR="00822F78" w:rsidRDefault="00822F78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</w:pP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  <w:t>Налоговая отчетность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pacing w:val="2"/>
          <w:sz w:val="28"/>
          <w:szCs w:val="28"/>
          <w:lang w:eastAsia="ru-RU"/>
        </w:rPr>
      </w:pPr>
      <w:bookmarkStart w:id="0" w:name="z206"/>
      <w:bookmarkEnd w:id="0"/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Налоговой отчетностью является документ налогоплательщика (налогового агента), представляемый в соответствии с порядком, установленным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Налоговым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одексом, который содержит сведения о налогоплательщике (налоговом агенте), объектах налогообложения и (или) объектах, связанных с налогообложением, об активах и обязательствах, а также об исчислении налоговых обязательств и социальных платежей.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Налоговая отчетность включает в себя налоговые декларации, расчеты, приложения к ним, по видам налогов, платежей в бюджет, социальным платежам, заявление о ввозе товаров и уплате косвенных налогов, реестр договоров аренды (пользования). Формы налоговой отчетности и правила их составления утверждаются уполномоченным органом.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В целях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 заявление о ввозе товаров и уплате косвенных налогов является налоговой декларацией.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Налоговая отчетность, за исключением заявления о ввозе товаров и уплате косвенных налогов, подразделяется на следующие виды: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первоначальная – налоговая отчетность, представляемая за налоговый период, в котором произведена постановка на регистрационный учет налогоплательщика (налогового агента) и (или) впервые возникли налоговое обязательство по определенным видам налогов и платежей в бюджет, а также обязанность по исчислению, удержанию и перечислению социальных платежей;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очередная – налоговая отчетность, представляемая за последующие налоговые периоды после представления первоначальной налоговой отчетности;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дополнительная – налоговая отчетность, представляемая при внесении изменений и (или) дополнений в ранее представленную налоговую отчетность за налоговый период, к которому относятся данные изменения и (или) дополнения;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4) дополнительная по уведомлению – налоговая отчетность, представляемая при внесении изменений и (или) дополнений в ранее представленную налоговую отчетность за налоговый период, в котором налоговым органом выявлены нарушения по результатам камерального контроля;</w:t>
      </w:r>
    </w:p>
    <w:p w:rsid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5) ликвидационная – налоговая отчетность, представляемая при прекращении деятельности, ликвидации или реорганизации налогоплательщика (налогового агента), а также при снятии с регистрационного учета по налогу на добавленную стоимость.</w:t>
      </w:r>
    </w:p>
    <w:p w:rsidR="008E5AF3" w:rsidRDefault="008E5AF3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bookmarkStart w:id="1" w:name="z207"/>
      <w:bookmarkStart w:id="2" w:name="z208"/>
      <w:bookmarkEnd w:id="1"/>
      <w:bookmarkEnd w:id="2"/>
      <w:r w:rsidRPr="00E8745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lastRenderedPageBreak/>
        <w:t>Порядок представления налоговой отчетности</w:t>
      </w:r>
    </w:p>
    <w:p w:rsidR="00D73520" w:rsidRPr="00E87456" w:rsidRDefault="00D73520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алоговая отчетность представля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тся в налоговые органы в порядке и сроки, которые установлены </w:t>
      </w:r>
      <w:r w:rsidR="00DA46AC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Налоговым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одексом.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Если налогоплательщик (налоговый агент) относится к категориям, для которых уполномоченным органом установлены различные формы налоговой отчетности, то в этом случае представляется налоговая отчетность по формам, предусмотренным для каждой категории, к которой налогоплательщик (налоговый агент) относится.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алоговая отчетность представля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тся в соответствующие налоговые органы по выбору: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в явочном порядке – на бумажном носителе, в том числе через Государственную корпорацию "Правительство для граждан" (за исключением налоговой отчетности по налогу на добавленную стоимость);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по почте заказным письмом с уведомлением – на бумажном носителе;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в электронной форме, допускающем компьютерную обработку информации.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Перечень налоговых заявлений, представляемых через Государственную корпорацию "Правительство для граждан", устанавливается уполномоченным органом совместно с уполномоченным органом в сфере информатизации.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После снятия с регистрационного учета по налогу на добавленную стоимость по решению налогового органа налоговая отчетность по налогу на добавленную стоимость представляется в явочном порядке.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Уполномоченный орган совместно со специальными государственными органами, органами военной разведки Министерства обороны Республики Казахстан, правоохранительными органами определяют особый порядок представления налоговой отчетности и перечень лиц, представляющих такую отчетность.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случае представления в явочном порядке на бумажном носителе налоговое заявление и (или) налоговая отчетность представляются в двух экземплярах, один экземпляр возвращается налогоплательщику (налоговому агенту) с отметкой налогового органа.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Структура электронного формата, программное обеспечение для составления и представления в электронной форме и обновление данного программного обеспечения размеща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тся на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интернет-ресурсе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уполномоченного органа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н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алоговой отчетности – не позднее чем за тридцать рабочих дней до наступления срока представления налоговой отчетности.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После представления ликвидационной налоговой отчетности налогоплательщик (налоговый агент) не вправе представлять в налоговый орган последующую налоговую отчетность, за исключением дополнительной и (или) дополнительной по уведомлению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. 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Ликвидационная налоговая отчетность, представленная за незавершенный налоговый период, приравнивается к очередной налоговой отчетности за налоговый период в случаях: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1) изменения налогоплательщиком (налоговым агентом) решения о ликвидации, реорганизации путем разделения после завершения налоговой проверки;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изменения налогоплательщиком (налоговым агентом) решения о прекращении предпринимательской деятельности до снятия с регистрационного учета в качестве индивидуального предпринимателя;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вынесения решения об отказе в снятии с регистрационного учета в качестве индивидуального предпринимателя.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За последующие налоговые периоды с даты представления ликвидационной налоговой отчетности налоговая отчетность представляется в соответствующие налоговые органы в порядке и сроки, которые установлены </w:t>
      </w:r>
      <w:r w:rsidR="008E5AF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Налоговым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одексом.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При отсутствии объектов налогообложения налоговая отчетность не представляется по: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налогу на имущество;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земельному налогу;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налогу на транспортные средства;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рентному налогу на экспорт;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подписному бонусу;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платежу по возмещению исторических затрат;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платежам в бюджет.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корпоративному подоходному налогу, удерживаемому у источника выплаты с дохода нерезидента.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По специальным платежам и налогам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недропользователей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налоговая отчетность представляется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недропользователем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по соответствующему контракту на недропользование.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Обязательство по представлению налоговой отчетности по акцизу распространяется на налогоплательщиков (налоговых агентов), осуществляющих следующие виды деятельности: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производство бензина (кроме авиационного), дизельного топлива;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оптовая и (или) розничная реализация бензина (кроме авиационного), дизельного топлива;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производство этилового спирта и (или) алкогольной продукции;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производство табачных изделий;</w:t>
      </w:r>
    </w:p>
    <w:p w:rsid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производство, сборка (комплектация) подакцизных товаров, предусмотренных </w:t>
      </w:r>
      <w:hyperlink r:id="rId4" w:anchor="z8521" w:history="1">
        <w:r w:rsidRPr="00E87456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подпунктом 6)</w:t>
        </w:r>
      </w:hyperlink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статьи 462 </w:t>
      </w:r>
      <w:r w:rsidR="007A6EB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одекса.</w:t>
      </w:r>
    </w:p>
    <w:p w:rsidR="00DA46AC" w:rsidRDefault="00DA46AC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DA46AC" w:rsidRPr="00DA46AC" w:rsidRDefault="00DA46AC" w:rsidP="00DA46AC">
      <w:pPr>
        <w:pStyle w:val="pj"/>
        <w:rPr>
          <w:sz w:val="20"/>
          <w:szCs w:val="20"/>
        </w:rPr>
      </w:pPr>
      <w:r w:rsidRPr="00DA46AC">
        <w:rPr>
          <w:rStyle w:val="s1"/>
          <w:sz w:val="20"/>
          <w:szCs w:val="20"/>
        </w:rPr>
        <w:t xml:space="preserve">(Статья 462. Перечень </w:t>
      </w:r>
      <w:r w:rsidRPr="00DA46AC">
        <w:rPr>
          <w:rStyle w:val="s0"/>
          <w:b/>
          <w:bCs/>
          <w:sz w:val="20"/>
          <w:szCs w:val="20"/>
        </w:rPr>
        <w:t>подакцизных товаров</w:t>
      </w:r>
    </w:p>
    <w:p w:rsidR="00DA46AC" w:rsidRPr="00DA46AC" w:rsidRDefault="00DA46AC" w:rsidP="00DA46AC">
      <w:pPr>
        <w:pStyle w:val="pj"/>
        <w:rPr>
          <w:sz w:val="20"/>
          <w:szCs w:val="20"/>
        </w:rPr>
      </w:pPr>
      <w:r w:rsidRPr="00DA46AC">
        <w:rPr>
          <w:sz w:val="20"/>
          <w:szCs w:val="20"/>
        </w:rPr>
        <w:t>Если иное не установлено настоящей статьей, подакцизными товарами являются:</w:t>
      </w:r>
    </w:p>
    <w:p w:rsidR="00DA46AC" w:rsidRPr="00DA46AC" w:rsidRDefault="00DA46AC" w:rsidP="00DA46AC">
      <w:pPr>
        <w:pStyle w:val="pj"/>
        <w:rPr>
          <w:sz w:val="20"/>
          <w:szCs w:val="20"/>
        </w:rPr>
      </w:pPr>
      <w:r w:rsidRPr="00DA46AC">
        <w:rPr>
          <w:sz w:val="20"/>
          <w:szCs w:val="20"/>
        </w:rPr>
        <w:t>6) моторные транспортные средства, предназначенные для перевозки 10 и более человек с объемом двигателя более 3000 кубических сантиметров, за исключением микроавтобусов, автобусов и троллейбусов;</w:t>
      </w:r>
    </w:p>
    <w:p w:rsidR="00DA46AC" w:rsidRPr="00DA46AC" w:rsidRDefault="00DA46AC" w:rsidP="00DA46AC">
      <w:pPr>
        <w:pStyle w:val="pj"/>
        <w:rPr>
          <w:sz w:val="20"/>
          <w:szCs w:val="20"/>
        </w:rPr>
      </w:pPr>
      <w:r w:rsidRPr="00DA46AC">
        <w:rPr>
          <w:sz w:val="20"/>
          <w:szCs w:val="20"/>
        </w:rPr>
        <w:t>автомобили легковые и прочие моторные транспортные средства, предназначенные для перевозки людей с объемом двигателя более 3000 кубических сантиметров (кроме автомобилей с ручным управлением или адаптером ручного управления, специально предназначенных для лиц с инвалидностью);</w:t>
      </w:r>
    </w:p>
    <w:p w:rsidR="00DA46AC" w:rsidRPr="00DA46AC" w:rsidRDefault="00DA46AC" w:rsidP="00DA46AC">
      <w:pPr>
        <w:pStyle w:val="pj"/>
        <w:rPr>
          <w:sz w:val="20"/>
          <w:szCs w:val="20"/>
        </w:rPr>
      </w:pPr>
      <w:r w:rsidRPr="00DA46AC">
        <w:rPr>
          <w:sz w:val="20"/>
          <w:szCs w:val="20"/>
        </w:rPr>
        <w:t xml:space="preserve">моторные транспортные средства на шасси легкового автомобиля с платформой для грузов и кабиной водителя, отделенной от грузового отсека жесткой стационарной перегородкой, с объемом двигателя более 3000 кубических сантиметров (кроме автомобилей с ручным управлением или адаптером ручного управления, специально предназначенных для лиц с </w:t>
      </w:r>
      <w:proofErr w:type="gramStart"/>
      <w:r w:rsidRPr="00DA46AC">
        <w:rPr>
          <w:sz w:val="20"/>
          <w:szCs w:val="20"/>
        </w:rPr>
        <w:t>инвалидностью);)</w:t>
      </w:r>
      <w:proofErr w:type="gramEnd"/>
      <w:r w:rsidRPr="00DA46AC">
        <w:rPr>
          <w:sz w:val="20"/>
          <w:szCs w:val="20"/>
        </w:rPr>
        <w:t xml:space="preserve"> </w:t>
      </w:r>
    </w:p>
    <w:p w:rsidR="00DA46AC" w:rsidRPr="00E87456" w:rsidRDefault="00DA46AC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Обязательство по представлению налоговой отчетности по акцизу распространяется на налогоплательщиков (налоговых агентов), осуществляющих облагаемые операции по сырой нефти, газовому конденсату (кроме сырой нефти, газового конденсата реализованных на экспорт).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Обязательство по представлению налоговой отчетности по акцизу не распространяется на налогоплательщиков (налоговых агентов), осуществляющих оптовую реализацию табачных изделий, изделий с нагреваемым табаком,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никотиносодержащей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жидкости для использования в электронных сигаретах.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Приложения к декларациям, расчетам не представляются при отсутствии данных, подлежащих отражению в них.</w:t>
      </w:r>
    </w:p>
    <w:p w:rsidR="007A6EB6" w:rsidRDefault="007A6EB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bookmarkStart w:id="3" w:name="z209"/>
      <w:bookmarkEnd w:id="3"/>
    </w:p>
    <w:p w:rsid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E8745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Прием налоговых форм</w:t>
      </w:r>
      <w:r w:rsidR="007A6EB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7A6EB6" w:rsidRPr="00E87456" w:rsidRDefault="007A6EB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Налоговые формы представляются в налоговые органы в сроки, установленные </w:t>
      </w:r>
      <w:r w:rsidR="007A6EB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Налоговым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одексом и подзаконными нормативными правовыми актами, определяющими порядок оказания государственных услуг, утверждаемыми уполномоченным органом.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Датой представления налоговых форм в налоговые органы в зависимости от способа их представления является: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дата приема налоговыми органами или Государственной корпорацией "Правительство для граждан" – при представлении в явочном порядке;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дата отметки о приеме почтовой или иной организации связи – при представлении по почте заказным письмом с уведомлением;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дата принятия центральным узлом системы приема и обработки налоговой отчетности, указанная в электронном уведомлении, направляемом налогоплательщику (налоговому агенту) в срок не позднее одного рабочего дня с момента принятия системой – при представлении в электронной форме.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При приеме и обработке налоговых форм системой налоговых органов проводится форматно-логический контроль, заключающийся в проверке полноты и корректности ее заполнения.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Информация о представлении деклараций физических лиц размещается на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интернет-ресурсе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уполномоченного органа в течение пятнадцати рабочих дней с даты представления деклараций физических лиц</w:t>
      </w:r>
      <w:r w:rsidR="004E664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Налоговые формы считаются не представленными в налоговые органы при наличии одного или нескольких из следующих случаев: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налоговые формы не соответствуют установленным уполномоченным органом формам;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в налоговой форме не указан код налогового органа;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в налоговой форме не указан или неверно указан идентификационный номер налогоплательщика (налогового агента);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4) в налоговой форме не указан налоговый период;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5) в налоговой форме не указана дата, на которую составляется декларация об активах и обязательствах;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6) в налоговой форме не указан вид налоговой отчетности;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7) налоговая отчетность не подписана и (или) не заверена печатью со своим наименованием;</w:t>
      </w: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8) налоговая отчетность имеет статус обработки "Отказ в обработке" при непринятии системой приема и обработки налоговой отчетности форматно-логического контроля;</w:t>
      </w:r>
    </w:p>
    <w:p w:rsid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9) нарушены требования </w:t>
      </w:r>
      <w:hyperlink r:id="rId5" w:anchor="z4031" w:history="1">
        <w:r w:rsidRPr="00E87456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пункта 1</w:t>
        </w:r>
      </w:hyperlink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статьи 212 </w:t>
      </w:r>
      <w:r w:rsidR="007A6EB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 относительно способа представления налоговой отчетности в случае продления срока представления налоговой отчетности;</w:t>
      </w:r>
    </w:p>
    <w:p w:rsidR="007D0A74" w:rsidRDefault="007D0A74" w:rsidP="007D0A74">
      <w:pPr>
        <w:pStyle w:val="pj"/>
        <w:rPr>
          <w:rStyle w:val="s1"/>
        </w:rPr>
      </w:pPr>
    </w:p>
    <w:p w:rsidR="007D0A74" w:rsidRPr="007D0A74" w:rsidRDefault="007D0A74" w:rsidP="007D0A74">
      <w:pPr>
        <w:pStyle w:val="pj"/>
        <w:rPr>
          <w:b/>
          <w:sz w:val="20"/>
          <w:szCs w:val="20"/>
        </w:rPr>
      </w:pPr>
      <w:r w:rsidRPr="007D0A74">
        <w:rPr>
          <w:rStyle w:val="s1"/>
          <w:b w:val="0"/>
          <w:sz w:val="20"/>
          <w:szCs w:val="20"/>
        </w:rPr>
        <w:t>(Статья 212. Продление сроков представления налоговой отчетности</w:t>
      </w:r>
    </w:p>
    <w:p w:rsidR="007D0A74" w:rsidRPr="007D0A74" w:rsidRDefault="007D0A74" w:rsidP="007D0A74">
      <w:pPr>
        <w:pStyle w:val="pj"/>
        <w:rPr>
          <w:sz w:val="20"/>
          <w:szCs w:val="20"/>
        </w:rPr>
      </w:pPr>
      <w:r w:rsidRPr="007D0A74">
        <w:rPr>
          <w:sz w:val="20"/>
          <w:szCs w:val="20"/>
        </w:rPr>
        <w:t>1. Налогоплательщик (налоговый агент) вправе продлить срок представления налоговой отчетности при условии ее представления в электронной форме, за исключением заявления о ввозе товаров и уплате косвенных налогов.)</w:t>
      </w:r>
    </w:p>
    <w:p w:rsidR="007D0A74" w:rsidRPr="00E87456" w:rsidRDefault="007D0A74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E87456" w:rsidRDefault="00E87456" w:rsidP="007A6EB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r w:rsidR="007A6EB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10) одновременно с декларацией по налогу на добавленную стоимость не представлены реестры счетов-фактур по приобретенным и реализованным в течение налогового периода товарам, работам, услугам – в случае выписки счетов-фактур на бумажном носителе в соответствии с </w:t>
      </w:r>
      <w:hyperlink r:id="rId6" w:anchor="z14264" w:history="1">
        <w:r w:rsidRPr="00E87456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подпунктом 1)</w:t>
        </w:r>
      </w:hyperlink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пункта 2 статьи 412 </w:t>
      </w:r>
      <w:r w:rsidR="007A6EB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одекса;</w:t>
      </w:r>
    </w:p>
    <w:p w:rsidR="007D0A74" w:rsidRDefault="007D0A74" w:rsidP="007A6EB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7D0A74" w:rsidRPr="007D0A74" w:rsidRDefault="007D0A74" w:rsidP="007D0A74">
      <w:pPr>
        <w:pStyle w:val="pj"/>
        <w:rPr>
          <w:sz w:val="20"/>
          <w:szCs w:val="20"/>
        </w:rPr>
      </w:pPr>
      <w:r w:rsidRPr="007D0A74">
        <w:rPr>
          <w:rStyle w:val="s1"/>
          <w:sz w:val="20"/>
          <w:szCs w:val="20"/>
        </w:rPr>
        <w:t>(Статья 412. Общие положения Счета-фактуры</w:t>
      </w:r>
    </w:p>
    <w:p w:rsidR="007D0A74" w:rsidRPr="007D0A74" w:rsidRDefault="007D0A74" w:rsidP="007D0A74">
      <w:pPr>
        <w:pStyle w:val="pj"/>
        <w:rPr>
          <w:sz w:val="20"/>
          <w:szCs w:val="20"/>
        </w:rPr>
      </w:pPr>
      <w:r w:rsidRPr="007D0A74">
        <w:rPr>
          <w:rStyle w:val="s0"/>
          <w:sz w:val="20"/>
          <w:szCs w:val="20"/>
        </w:rPr>
        <w:t>2. Счет-фактура выписывается в электронной форме, за исключением следующих случаев, когда налогоплательщик вправе выписывать счет-фактуру на бумажном носителе:</w:t>
      </w:r>
    </w:p>
    <w:p w:rsidR="007D0A74" w:rsidRPr="007D0A74" w:rsidRDefault="007D0A74" w:rsidP="007D0A74">
      <w:pPr>
        <w:pStyle w:val="pj"/>
        <w:rPr>
          <w:sz w:val="20"/>
          <w:szCs w:val="20"/>
        </w:rPr>
      </w:pPr>
      <w:r w:rsidRPr="007D0A74">
        <w:rPr>
          <w:rStyle w:val="s0"/>
          <w:sz w:val="20"/>
          <w:szCs w:val="20"/>
        </w:rPr>
        <w:t>1) отсутствия по месту нахождения налогоплательщика в границах административно-территориальных единиц Республики Казахстан сети телекоммуникаций общего пользования.</w:t>
      </w:r>
    </w:p>
    <w:p w:rsidR="007D0A74" w:rsidRPr="007D0A74" w:rsidRDefault="008E5AF3" w:rsidP="007D0A74">
      <w:pPr>
        <w:pStyle w:val="pj"/>
        <w:rPr>
          <w:sz w:val="20"/>
          <w:szCs w:val="20"/>
        </w:rPr>
      </w:pPr>
      <w:hyperlink r:id="rId7" w:history="1">
        <w:r w:rsidR="007D0A74" w:rsidRPr="007D0A74">
          <w:rPr>
            <w:rStyle w:val="a4"/>
            <w:color w:val="000080"/>
            <w:sz w:val="20"/>
            <w:szCs w:val="20"/>
          </w:rPr>
          <w:t>Информация об административно-территориальных единицах Республики Казахстан</w:t>
        </w:r>
      </w:hyperlink>
      <w:r w:rsidR="007D0A74" w:rsidRPr="007D0A74">
        <w:rPr>
          <w:rStyle w:val="s2"/>
          <w:color w:val="000080"/>
          <w:sz w:val="20"/>
          <w:szCs w:val="20"/>
        </w:rPr>
        <w:t>,</w:t>
      </w:r>
      <w:r w:rsidR="007D0A74" w:rsidRPr="007D0A74">
        <w:rPr>
          <w:rStyle w:val="s0"/>
          <w:sz w:val="20"/>
          <w:szCs w:val="20"/>
        </w:rPr>
        <w:t xml:space="preserve"> на территории которых отсутствуют сети телекоммуникаций общего пользования, размещается на </w:t>
      </w:r>
      <w:proofErr w:type="spellStart"/>
      <w:r w:rsidR="007D0A74" w:rsidRPr="007D0A74">
        <w:rPr>
          <w:rStyle w:val="s0"/>
          <w:sz w:val="20"/>
          <w:szCs w:val="20"/>
        </w:rPr>
        <w:t>интернет-ресурсе</w:t>
      </w:r>
      <w:proofErr w:type="spellEnd"/>
      <w:r w:rsidR="007D0A74" w:rsidRPr="007D0A74">
        <w:rPr>
          <w:rStyle w:val="s0"/>
          <w:sz w:val="20"/>
          <w:szCs w:val="20"/>
        </w:rPr>
        <w:t xml:space="preserve"> уполномоченного органа;)</w:t>
      </w:r>
    </w:p>
    <w:p w:rsidR="007D0A74" w:rsidRPr="007D0A74" w:rsidRDefault="007D0A74" w:rsidP="007A6EB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E87456" w:rsidRPr="00E87456" w:rsidRDefault="00E87456" w:rsidP="00E8745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11) налоговая отчетность по налогу на добавленную стоимость представлена не в явочном порядке после снятия с регистрационного учета по указанному налогу по решению налогового органа.</w:t>
      </w:r>
      <w:bookmarkStart w:id="4" w:name="_GoBack"/>
      <w:bookmarkEnd w:id="4"/>
    </w:p>
    <w:sectPr w:rsidR="00E87456" w:rsidRPr="00E874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C59"/>
    <w:rsid w:val="00013FF7"/>
    <w:rsid w:val="00146630"/>
    <w:rsid w:val="002560BC"/>
    <w:rsid w:val="00284A52"/>
    <w:rsid w:val="00497EB9"/>
    <w:rsid w:val="004A4911"/>
    <w:rsid w:val="004E6648"/>
    <w:rsid w:val="00500413"/>
    <w:rsid w:val="00576E1C"/>
    <w:rsid w:val="00590B8F"/>
    <w:rsid w:val="00595DAD"/>
    <w:rsid w:val="005C4D90"/>
    <w:rsid w:val="00696361"/>
    <w:rsid w:val="007A6EB6"/>
    <w:rsid w:val="007D0A74"/>
    <w:rsid w:val="007E4320"/>
    <w:rsid w:val="00822F78"/>
    <w:rsid w:val="008E5AF3"/>
    <w:rsid w:val="00B3135F"/>
    <w:rsid w:val="00BC1ECA"/>
    <w:rsid w:val="00C07C59"/>
    <w:rsid w:val="00D73520"/>
    <w:rsid w:val="00DA46AC"/>
    <w:rsid w:val="00E87456"/>
    <w:rsid w:val="00F767BD"/>
    <w:rsid w:val="00FB1882"/>
    <w:rsid w:val="00FB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600DD"/>
  <w15:chartTrackingRefBased/>
  <w15:docId w15:val="{8737E517-7397-43A4-8FA9-C2F7B5ED6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874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8745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87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te">
    <w:name w:val="note"/>
    <w:basedOn w:val="a0"/>
    <w:rsid w:val="00E87456"/>
  </w:style>
  <w:style w:type="character" w:styleId="a4">
    <w:name w:val="Hyperlink"/>
    <w:basedOn w:val="a0"/>
    <w:uiPriority w:val="99"/>
    <w:semiHidden/>
    <w:unhideWhenUsed/>
    <w:rsid w:val="00E87456"/>
    <w:rPr>
      <w:color w:val="0000FF"/>
      <w:u w:val="single"/>
    </w:rPr>
  </w:style>
  <w:style w:type="paragraph" w:customStyle="1" w:styleId="pj">
    <w:name w:val="pj"/>
    <w:basedOn w:val="a"/>
    <w:rsid w:val="00DA46AC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s0">
    <w:name w:val="s0"/>
    <w:rsid w:val="00DA46AC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customStyle="1" w:styleId="s1">
    <w:name w:val="s1"/>
    <w:rsid w:val="00DA46AC"/>
    <w:rPr>
      <w:rFonts w:ascii="Times New Roman" w:hAnsi="Times New Roman" w:cs="Times New Roman" w:hint="default"/>
      <w:b/>
      <w:bCs/>
      <w:color w:val="000000"/>
    </w:rPr>
  </w:style>
  <w:style w:type="paragraph" w:customStyle="1" w:styleId="pji">
    <w:name w:val="pji"/>
    <w:basedOn w:val="a"/>
    <w:rsid w:val="007D0A74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s3">
    <w:name w:val="s3"/>
    <w:rsid w:val="007D0A74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s9">
    <w:name w:val="s9"/>
    <w:rsid w:val="007D0A74"/>
    <w:rPr>
      <w:rFonts w:ascii="Times New Roman" w:hAnsi="Times New Roman" w:cs="Times New Roman" w:hint="default"/>
      <w:b w:val="0"/>
      <w:bCs w:val="0"/>
      <w:i/>
      <w:iCs/>
      <w:color w:val="333399"/>
      <w:u w:val="single"/>
    </w:rPr>
  </w:style>
  <w:style w:type="character" w:customStyle="1" w:styleId="s2">
    <w:name w:val="s2"/>
    <w:rsid w:val="007D0A74"/>
    <w:rPr>
      <w:rFonts w:ascii="Times New Roman" w:hAnsi="Times New Roman" w:cs="Times New Roman" w:hint="default"/>
      <w:color w:val="333399"/>
      <w:u w:val="single"/>
    </w:rPr>
  </w:style>
  <w:style w:type="character" w:customStyle="1" w:styleId="s211">
    <w:name w:val="s211"/>
    <w:basedOn w:val="a0"/>
    <w:rsid w:val="00013FF7"/>
  </w:style>
  <w:style w:type="paragraph" w:styleId="a5">
    <w:name w:val="Balloon Text"/>
    <w:basedOn w:val="a"/>
    <w:link w:val="a6"/>
    <w:uiPriority w:val="99"/>
    <w:semiHidden/>
    <w:unhideWhenUsed/>
    <w:rsid w:val="00B313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313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02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kgd.gov.kz/sites/default/files/gosuslugi/perechen_ate_ne_imeyushchih_pokrytie_setey_telekommunikaciy_obshchego_polzovaniya.xls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dilet.zan.kz/rus/docs/K1700000120" TargetMode="External"/><Relationship Id="rId5" Type="http://schemas.openxmlformats.org/officeDocument/2006/relationships/hyperlink" Target="https://adilet.zan.kz/rus/docs/K1700000120" TargetMode="External"/><Relationship Id="rId4" Type="http://schemas.openxmlformats.org/officeDocument/2006/relationships/hyperlink" Target="https://adilet.zan.kz/rus/docs/K1700000120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1811</Words>
  <Characters>10327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cp:lastPrinted>2022-12-09T10:08:00Z</cp:lastPrinted>
  <dcterms:created xsi:type="dcterms:W3CDTF">2022-12-23T15:13:00Z</dcterms:created>
  <dcterms:modified xsi:type="dcterms:W3CDTF">2024-01-25T00:41:00Z</dcterms:modified>
</cp:coreProperties>
</file>